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AB" w:rsidRDefault="00D873AB" w:rsidP="00D873AB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right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04.05.2017г.</w:t>
      </w: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Депутат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Кенеша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КР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Жеенчороев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М. (парламентская фракция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«Республика-Ата-Журт») предлагает изменения в Конституционный закон КР «О выборах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Президента КР и депутатов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Кенеша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КР», в частности предлагается включить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понятия «Интернет», «интернет-издания» и «уникальный посетитель или посетитель с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уникальным IP-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дресом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». Инициатор обосновывает свое предложение целью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предоставить «</w:t>
      </w:r>
      <w:r w:rsidRPr="00D873AB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 xml:space="preserve">возможность </w:t>
      </w:r>
      <w:proofErr w:type="spellStart"/>
      <w:r w:rsidRPr="00D873AB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нтернет</w:t>
      </w:r>
      <w:proofErr w:type="spellEnd"/>
      <w:r w:rsidRPr="00D873AB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-изданиям, так же, как и СМИ регистрироваться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в 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Центральной избирательной комиссии (</w:t>
      </w:r>
      <w:r w:rsidRPr="00D873AB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ЦИК) для полноправного участия в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агитационной компании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». Стоит отметить, что с 2011 года сложилась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правоприменительная практика, предусматривающая порядок участия интернет-изданий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предвыборной агитации и освещении избирательного процесса разрешается заключением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Меморандума о сотрудничестве между ЦИК и интернет-изданиями.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Ознакомившись с содержанием поправок, отмечаем следующее:</w:t>
      </w:r>
    </w:p>
    <w:p w:rsidR="00D873AB" w:rsidRP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Закон КР «О нормативных правовых актах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Республики» в статье 3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предусматривает следующие принципы нормотворческой деятельности: соблюдение прав,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свобод и законных интересов граждан и юридических лиц; законность; обоснованность;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целесообразность; справедливость; гласность; доступность языка нормативного правового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акта.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Дефиниция термина «закон», приведенная в статье 4 </w:t>
      </w:r>
      <w:bookmarkStart w:id="0" w:name="_GoBack"/>
      <w:bookmarkEnd w:id="0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обозначенного закона, гласит,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что данный вид нормативных-правовых актов регулирует наиболее важные общественные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отношения в «соответствующей» сфере.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Таким образом, действие закона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ограничивается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 определенной сферой, обозначенной в его предмете. Выход за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пределы сферы порождает риск возникновения коллизий с другими действующими</w:t>
      </w: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законами, а равно пробелов в законодательном регулировании.</w:t>
      </w:r>
    </w:p>
    <w:p w:rsidR="00D873AB" w:rsidRP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Помимо вышесказанного важно отметить, что конституционные законы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принимаются в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Республике в порядке, установленном Конституцией и только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пределённым ею вопросам. Согласно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ст.ст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 62, 70 Конституции конституционным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законом определяются порядок избрания Президента и депутатов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Кенеша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Конституционный Закон «О выборах Президента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 и депутатов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Кенеша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Республики» определяет избирательные права граждан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 и их гарантии, регулирует отношения, связанные с подготовкой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и проведением выборов Президента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Республики, депутатов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Кенеша</w:t>
      </w:r>
      <w:proofErr w:type="spellEnd"/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Среди прочего закон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определяет порядок информационного обеспечения выборов. При этом соответствующая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деятельность выполняется либо субъектами правоотношений, указанными в действующем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общегражданском законодательстве (физические,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ридические лица, средства массовой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информации), либо субъектами, чей статус подробно урегулирован действующим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законодательством о выборах (например, избирательные комиссии).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В этой связи, закон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без каких-либо сложностей встраивается в систему действующего регулирования,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так как содержит регулирование деятельности субъектов, правовой статус которых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понятен и определен, в определенной сфере, а именно в сфере реализации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избирательных прав.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Внедрение в избирательное законодательство предлагаемых положений входит в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противоречие с принципами обоснованности и целесообразности, приводя к появлению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коллизий с другими законодательными актами, регулирующими информационные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отношения, к примеру, с Законом КР «Об информатизации и электронном управлении», а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также к внутренней противоречивости закона, в который вносятся поправки. Одной из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lastRenderedPageBreak/>
        <w:t>целей Закона КР «Об информатизации и электронном управлении» является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удовлетворение «информационных потребностей граждан, учреждений, организаций и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органов государственного управления на основе формирования в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Республике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современной информационной инфраструктуры, ее интеграции в международные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информационные сети и системы».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Однако данный отраслевой закон не дает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определения понятию «Интернет», «уникальный посетитель или посетитель с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уникальным IP-адресом», что нарушает правило системности законодательной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деятельности.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Подчеркивая, что включение определений «интернет», «интернет-издания» в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конституционном законе, выходит за рамки основного регулирования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конституционного закона, 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следует отметить, что в предлагаемом определении Интернет-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издания законопроект к тому же предполагает наличие исключений из общего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регулирования. В категорию интернет издания не входят персональные страницы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социальных сетях и блоги.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Эти понятия в законопроекте не определены, также их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содержание не раскрыто в иных законодательных актах. Это затрудняет толкование</w:t>
      </w: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и 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реализацию закона.</w:t>
      </w:r>
    </w:p>
    <w:p w:rsidR="00D873AB" w:rsidRP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Качественную нормативно-правовую базу отличает внутренняя согласованность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законов. Соблюдение данного принципа позволяет в значительной степени снизить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вероятность неправильной интерпретации и отслеживать, как тот или иной термин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применяется и определяется в действующем законодательстве. Формальная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согласованность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терминологическое единство, т.е. применение терминов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значении, определенном в их законодательных дефинициях.</w:t>
      </w: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Нормы закона должны быть сформулированы так, чтобы те лица, на которых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распространяется его действие, могли четко сориентироваться, какими станут для них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правовые последствия принятия соответствующего документа и какого результата можно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достичь посредством принятия этого закона. Закон должен быть исполнимым, его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реализация должна быть обеспечена материальными и правовыми ресурсами, доступными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в рамках юрисдикции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Республики.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Предложенный законопроект не определяет алгоритма определения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уникальных пользователей. 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Пока ни у одного специалиста нет понимания, какими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инструментами и с помощью каких механизмов будет считаться уникальная суточная или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месячная тысячная аудитория. На сегодня сбор статистических данных делается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существующими сервисами по посещениям страниц/сайта,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однако все эти сервисы не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являются национальными и не могут быть принуждены к исполнению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законодательства </w:t>
      </w:r>
      <w:proofErr w:type="spellStart"/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Кыргызской</w:t>
      </w:r>
      <w:proofErr w:type="spellEnd"/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 Республики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(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Я.Метрика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liveinternet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и др.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существующие сервисы).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Законопроект в предлагаемой редакции не предусматривает формирование или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наделение специальными полномочиями уполномоченного государственного органа,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который будет осуществлять сбор и анализ данных о количестве уникальных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пользователей. С точки зрения содержания регулирования (информационные отношения),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соответствующими полномочиями должен быть наделен один из органов, указанных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статье 24 Закона КР от 8 октября 1999 года «Об информатизации и электронном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управлении». Однако,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соответствующее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регулирование законопроект не предлагает.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Учитывая, что поправки, касающиеся регулирования сферы интернет, вносятся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конституционный закон о выборах,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это, по всей видимости, подразумевает, что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компетенциями регулирующего и контролирующего органа наделяется ЦИК,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которая и будет решать, кто администрирует, а также </w:t>
      </w:r>
      <w:proofErr w:type="spellStart"/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модерирует</w:t>
      </w:r>
      <w:proofErr w:type="spellEnd"/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 ресурс и сколько у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него уникальных посетителей.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Каким образом ЦИК будет определять, кто открыл страницу в социальной сети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физическое или юридическое лицо? Например, под категорию интернет-издания может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попасть анкета на сайте знакомств? Тема на интернет-форуме? С учетом современных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lastRenderedPageBreak/>
        <w:t>интернет-технологий можно любому сайту (пользователю) направить 1 000 посетителей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на страницу в течение нескольких часов, а то и минут. 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В любом случае,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администрирование и тем более </w:t>
      </w:r>
      <w:proofErr w:type="spellStart"/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модерацию</w:t>
      </w:r>
      <w:proofErr w:type="spellEnd"/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 xml:space="preserve"> сайта установить по национальному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признаку представляется невозможным. 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Тем более, принимая во внимание то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обстоятельство, что ЦИК, исходя из его компетенции, не обладает опытом, навыками и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ресурсами, необходимыми для реализации соответствующей функции. Очевидно, что на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ЦИК эти обязанности никак не могут быть возложены.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Законопроектом делается попытка не нарушить принцип действия закона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пространстве, регулируя не всю сеть Интернет, а только ее сегмент в доменной зоне .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kg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Однако такой подход порождает неравенство субъектов правоотношений. Так, управляя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интернет-изданием из России или Казахстана, можно будет нарушать конституционный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закон в части агитации и информирования.</w:t>
      </w:r>
    </w:p>
    <w:p w:rsidR="00D873AB" w:rsidRDefault="00D873AB" w:rsidP="00D873AB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Как известно, Интернет как глобальное явление имеет трансграничный характер.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Соответственно, законодательство КР не имеет возможности установить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обязательства для зарубежных интернет-изданий и сервисов по исполнению норм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касательно агитации в конституционном законе.</w:t>
      </w:r>
    </w:p>
    <w:p w:rsidR="00D873AB" w:rsidRPr="00D873AB" w:rsidRDefault="00D873AB" w:rsidP="00D873AB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Участие общественности, а, прежде всего, Интернет индустрии должно быть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решающим условием создания каких бы то ни было регуляционных механизмов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регулировании Интернета. Важно подчеркнуть, что решение о введении регулятивных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механизмов должно обязательно подвергаться не только правовой, но и технологической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экспертизе с тем, чтобы реализация принятых решений не могла «упереться» 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техническую неисполнимость или, наоборот, в злоупотребления </w:t>
      </w:r>
      <w:proofErr w:type="spellStart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правоприменителя</w:t>
      </w:r>
      <w:proofErr w:type="spellEnd"/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D873AB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использующего инструменты, не учитывающие реалии Интернета.</w:t>
      </w:r>
    </w:p>
    <w:p w:rsidR="00D873AB" w:rsidRDefault="00D873AB" w:rsidP="00D873AB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3AB" w:rsidRPr="00D873AB" w:rsidRDefault="00D873AB" w:rsidP="00D873AB">
      <w:pPr>
        <w:spacing w:after="0" w:line="240" w:lineRule="auto"/>
        <w:jc w:val="right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ОФ «Институт Медиа Полиси»</w:t>
      </w:r>
    </w:p>
    <w:p w:rsidR="00D873AB" w:rsidRPr="00D873AB" w:rsidRDefault="00D873AB" w:rsidP="00D873AB">
      <w:pPr>
        <w:spacing w:after="0" w:line="240" w:lineRule="auto"/>
        <w:jc w:val="right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D873AB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ОФ «Гражданская инициатива интернет политики»</w:t>
      </w:r>
    </w:p>
    <w:p w:rsidR="00245FCE" w:rsidRDefault="00245FCE"/>
    <w:sectPr w:rsidR="0024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70549"/>
    <w:rsid w:val="00245FCE"/>
    <w:rsid w:val="00D8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D582"/>
  <w15:chartTrackingRefBased/>
  <w15:docId w15:val="{A0F9E4E3-4243-46C9-A1D2-0E1BA6E1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166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21" w:color="auto"/>
            <w:bottom w:val="single" w:sz="6" w:space="18" w:color="CECECE"/>
            <w:right w:val="none" w:sz="0" w:space="21" w:color="auto"/>
          </w:divBdr>
          <w:divsChild>
            <w:div w:id="13064684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1</cp:revision>
  <dcterms:created xsi:type="dcterms:W3CDTF">2018-08-02T08:30:00Z</dcterms:created>
  <dcterms:modified xsi:type="dcterms:W3CDTF">2018-08-02T08:35:00Z</dcterms:modified>
</cp:coreProperties>
</file>